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38" w:rsidRDefault="000E7838" w:rsidP="000E7838">
      <w:pPr>
        <w:bidi w:val="0"/>
        <w:spacing w:after="0" w:line="240" w:lineRule="auto"/>
        <w:rPr>
          <w:rFonts w:eastAsia="Calibri" w:cs="Calibri"/>
          <w:sz w:val="40"/>
        </w:rPr>
      </w:pPr>
      <w:r>
        <w:rPr>
          <w:rFonts w:ascii="ArialMT" w:eastAsia="ArialMT" w:hAnsi="ArialMT" w:cs="ArialMT"/>
          <w:sz w:val="40"/>
        </w:rPr>
        <w:t>Clinical Biochemistry</w:t>
      </w:r>
      <w:r>
        <w:rPr>
          <w:rFonts w:eastAsia="Calibri" w:cs="Calibri"/>
          <w:sz w:val="40"/>
        </w:rPr>
        <w:t xml:space="preserve"> </w:t>
      </w:r>
      <w:proofErr w:type="gramStart"/>
      <w:r>
        <w:rPr>
          <w:rFonts w:eastAsia="Calibri" w:cs="Calibri"/>
          <w:sz w:val="40"/>
        </w:rPr>
        <w:t>1  0308313</w:t>
      </w:r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Arial-BoldMT" w:hAnsi="Times New Roman" w:cs="Times New Roman"/>
          <w:b/>
          <w:sz w:val="24"/>
        </w:rPr>
      </w:pPr>
      <w:r>
        <w:rPr>
          <w:rFonts w:ascii="Times New Roman" w:eastAsia="Arial-BoldMT" w:hAnsi="Times New Roman" w:cs="Times New Roman"/>
          <w:b/>
          <w:sz w:val="24"/>
        </w:rPr>
        <w:t>Course Description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Discuss advanced principles of clinical chemistry as well as acquisition, management and application of laboratory data. It also studies methods of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quantitating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clinicaly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significant analysis, including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pathophysiology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of related disease states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Textbook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Arial-BoldMT" w:hAnsi="Times New Roman" w:cs="Times New Roman"/>
          <w:b/>
          <w:sz w:val="24"/>
          <w:szCs w:val="24"/>
        </w:rPr>
        <w:t>Title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Biochemistry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Author(s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</w:rPr>
        <w:t>Campbell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Farrel</w:t>
      </w:r>
      <w:proofErr w:type="spellEnd"/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Publisher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Thomson –Brooks/Cole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2006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Arial-BoldMT" w:hAnsi="Times New Roman" w:cs="Times New Roman"/>
          <w:b/>
          <w:sz w:val="24"/>
          <w:szCs w:val="24"/>
        </w:rPr>
        <w:t>Edition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ArialMT" w:hAnsi="Times New Roman" w:cs="Times New Roman"/>
          <w:sz w:val="24"/>
          <w:szCs w:val="24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edition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Course Content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Week Topics Chapter in Textbook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Lecturer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ArialMT" w:hAnsi="Times New Roman" w:cs="Times New Roman"/>
          <w:sz w:val="24"/>
          <w:szCs w:val="24"/>
        </w:rPr>
        <w:t>Quality assurance in clinical chemistry (quality controls, RI, method selection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And method evaluation) International system units and conversion Rules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ArialMT" w:hAnsi="Times New Roman" w:cs="Times New Roman"/>
          <w:sz w:val="24"/>
          <w:szCs w:val="24"/>
        </w:rPr>
        <w:t>Blood specimen collection and sources of biological variation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ArialMT" w:hAnsi="Times New Roman" w:cs="Times New Roman"/>
          <w:sz w:val="24"/>
          <w:szCs w:val="24"/>
        </w:rPr>
        <w:t xml:space="preserve">Substrate and enzyme </w:t>
      </w:r>
      <w:proofErr w:type="gramStart"/>
      <w:r>
        <w:rPr>
          <w:rFonts w:ascii="Times New Roman" w:eastAsia="ArialMT" w:hAnsi="Times New Roman" w:cs="Times New Roman"/>
          <w:sz w:val="24"/>
          <w:szCs w:val="24"/>
        </w:rPr>
        <w:t>measurements(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>end point, kinetics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ArialMT" w:hAnsi="Times New Roman" w:cs="Times New Roman"/>
          <w:sz w:val="24"/>
          <w:szCs w:val="24"/>
        </w:rPr>
        <w:t>Enzymes of (LFT, KFT.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 Cardiac,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CSF</w:t>
      </w:r>
      <w:proofErr w:type="gramStart"/>
      <w:r>
        <w:rPr>
          <w:rFonts w:ascii="Times New Roman" w:eastAsia="ArialMT" w:hAnsi="Times New Roman" w:cs="Times New Roman"/>
          <w:sz w:val="24"/>
          <w:szCs w:val="24"/>
        </w:rPr>
        <w:t>,pancreas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ArialMT" w:hAnsi="Times New Roman" w:cs="Times New Roman"/>
          <w:sz w:val="24"/>
          <w:szCs w:val="24"/>
        </w:rPr>
        <w:t>Special techniques in clinical chemistry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ArialMT" w:hAnsi="Times New Roman" w:cs="Times New Roman"/>
          <w:sz w:val="24"/>
          <w:szCs w:val="24"/>
        </w:rPr>
        <w:t>HbA1c-method of analysis, Blood gases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ArialMT" w:hAnsi="Times New Roman" w:cs="Times New Roman"/>
          <w:sz w:val="24"/>
          <w:szCs w:val="24"/>
        </w:rPr>
        <w:t xml:space="preserve">Electrophoresis –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Hb</w:t>
      </w:r>
      <w:proofErr w:type="spellEnd"/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ArialMT" w:hAnsi="Times New Roman" w:cs="Times New Roman"/>
          <w:sz w:val="24"/>
          <w:szCs w:val="24"/>
        </w:rPr>
        <w:t>Immunoassay in clinical chemistry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9 </w:t>
      </w:r>
      <w:proofErr w:type="spellStart"/>
      <w:r>
        <w:rPr>
          <w:rFonts w:ascii="Times New Roman" w:eastAsia="ArialMT" w:hAnsi="Times New Roman" w:cs="Times New Roman"/>
          <w:sz w:val="24"/>
        </w:rPr>
        <w:t>Microparticle</w:t>
      </w:r>
      <w:proofErr w:type="spellEnd"/>
      <w:r>
        <w:rPr>
          <w:rFonts w:ascii="Times New Roman" w:eastAsia="ArialMT" w:hAnsi="Times New Roman" w:cs="Times New Roman"/>
          <w:sz w:val="24"/>
        </w:rPr>
        <w:t xml:space="preserve"> enzyme </w:t>
      </w:r>
      <w:proofErr w:type="gramStart"/>
      <w:r>
        <w:rPr>
          <w:rFonts w:ascii="Times New Roman" w:eastAsia="ArialMT" w:hAnsi="Times New Roman" w:cs="Times New Roman"/>
          <w:sz w:val="24"/>
        </w:rPr>
        <w:t>immunoassay(</w:t>
      </w:r>
      <w:proofErr w:type="gramEnd"/>
      <w:r>
        <w:rPr>
          <w:rFonts w:ascii="Times New Roman" w:eastAsia="ArialMT" w:hAnsi="Times New Roman" w:cs="Times New Roman"/>
          <w:sz w:val="24"/>
        </w:rPr>
        <w:t>EMIT</w:t>
      </w:r>
      <w:r>
        <w:rPr>
          <w:rFonts w:ascii="Times New Roman" w:eastAsia="Calibri" w:hAnsi="Times New Roman" w:cs="Times New Roman"/>
          <w:sz w:val="24"/>
        </w:rPr>
        <w:t>)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10 </w:t>
      </w:r>
      <w:proofErr w:type="spellStart"/>
      <w:r>
        <w:rPr>
          <w:rFonts w:ascii="Times New Roman" w:eastAsia="ArialMT" w:hAnsi="Times New Roman" w:cs="Times New Roman"/>
          <w:sz w:val="24"/>
        </w:rPr>
        <w:t>Radiative</w:t>
      </w:r>
      <w:proofErr w:type="spellEnd"/>
      <w:r>
        <w:rPr>
          <w:rFonts w:ascii="Times New Roman" w:eastAsia="ArialMT" w:hAnsi="Times New Roman" w:cs="Times New Roman"/>
          <w:sz w:val="24"/>
        </w:rPr>
        <w:t xml:space="preserve"> energy attenuation (REA) Fluorescent polarization immunoassay</w:t>
      </w:r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</w:t>
      </w:r>
      <w:r>
        <w:rPr>
          <w:rFonts w:ascii="Times New Roman" w:eastAsia="ArialMT" w:hAnsi="Times New Roman" w:cs="Times New Roman"/>
          <w:sz w:val="24"/>
        </w:rPr>
        <w:t>FBIA</w:t>
      </w:r>
      <w:r>
        <w:rPr>
          <w:rFonts w:ascii="Times New Roman" w:eastAsia="Calibri" w:hAnsi="Times New Roman" w:cs="Times New Roman"/>
          <w:sz w:val="24"/>
        </w:rPr>
        <w:t>)</w:t>
      </w: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ArialMT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11 </w:t>
      </w:r>
      <w:proofErr w:type="spellStart"/>
      <w:r>
        <w:rPr>
          <w:rFonts w:ascii="Times New Roman" w:eastAsia="ArialMT" w:hAnsi="Times New Roman" w:cs="Times New Roman"/>
          <w:sz w:val="24"/>
        </w:rPr>
        <w:t>Chemiluminescence's</w:t>
      </w:r>
      <w:proofErr w:type="spellEnd"/>
      <w:proofErr w:type="gramEnd"/>
    </w:p>
    <w:p w:rsidR="000E7838" w:rsidRDefault="000E7838" w:rsidP="000E7838">
      <w:pPr>
        <w:bidi w:val="0"/>
        <w:spacing w:after="0" w:line="240" w:lineRule="auto"/>
        <w:rPr>
          <w:rFonts w:ascii="Times New Roman" w:eastAsia="Arial" w:hAnsi="Times New Roman" w:cs="Times New Roman"/>
          <w:sz w:val="40"/>
        </w:rPr>
      </w:pPr>
    </w:p>
    <w:p w:rsidR="000E7838" w:rsidRDefault="000E7838" w:rsidP="000E7838">
      <w:pPr>
        <w:bidi w:val="0"/>
        <w:spacing w:after="0" w:line="240" w:lineRule="auto"/>
        <w:rPr>
          <w:rFonts w:ascii="Times New Roman" w:eastAsia="Calibri" w:hAnsi="Times New Roman" w:cs="Times New Roman"/>
          <w:sz w:val="44"/>
        </w:rPr>
      </w:pPr>
    </w:p>
    <w:p w:rsidR="000E7838" w:rsidRDefault="000E7838" w:rsidP="000E7838">
      <w:pPr>
        <w:bidi w:val="0"/>
        <w:spacing w:after="0" w:line="240" w:lineRule="auto"/>
        <w:rPr>
          <w:rFonts w:eastAsia="Calibri" w:cs="Calibri"/>
          <w:sz w:val="44"/>
        </w:rPr>
      </w:pPr>
    </w:p>
    <w:p w:rsidR="006F70BC" w:rsidRDefault="006F70BC"/>
    <w:sectPr w:rsidR="006F70BC" w:rsidSect="006F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838"/>
    <w:rsid w:val="000E7838"/>
    <w:rsid w:val="006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3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273A0-0C75-4B48-830E-6D6F8F8D4BFF}"/>
</file>

<file path=customXml/itemProps2.xml><?xml version="1.0" encoding="utf-8"?>
<ds:datastoreItem xmlns:ds="http://schemas.openxmlformats.org/officeDocument/2006/customXml" ds:itemID="{E45F5C0A-97CA-4565-BD03-25E7D56A3C35}"/>
</file>

<file path=customXml/itemProps3.xml><?xml version="1.0" encoding="utf-8"?>
<ds:datastoreItem xmlns:ds="http://schemas.openxmlformats.org/officeDocument/2006/customXml" ds:itemID="{63B0A7B0-1B49-48FF-AF92-88323A0D8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</cp:revision>
  <dcterms:created xsi:type="dcterms:W3CDTF">2019-03-10T07:39:00Z</dcterms:created>
  <dcterms:modified xsi:type="dcterms:W3CDTF">2019-03-10T07:40:00Z</dcterms:modified>
</cp:coreProperties>
</file>